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129</w:t>
      </w:r>
    </w:p>
    <w:p>
      <w:r>
        <w:t>Bundesgericht (BGE), 2023-12-12, DE</w:t>
      </w:r>
    </w:p>
    <w:p>
      <w:r>
        <w:rPr>
          <w:b/>
        </w:rPr>
        <w:t xml:space="preserve">Quelle: </w:t>
      </w:r>
      <w:r>
        <w:t>https://mcp.opencaselaw.ch/entscheid/bge_150 V 129</w:t>
      </w:r>
    </w:p>
    <w:p>
      <w:r>
        <w:t>FR: ATF 150 V 129</w:t>
      </w:r>
    </w:p>
    <w:p>
      <w:r>
        <w:t>IT: DTF 150 V 129</w:t>
      </w:r>
    </w:p>
    <w:p>
      <w:pPr>
        <w:pStyle w:val="Heading2"/>
      </w:pPr>
      <w:r>
        <w:t>Regeste</w:t>
      </w:r>
    </w:p>
    <w:p>
      <w:r>
        <w:t>Regeste Art. 32 Abs. 1, Art. 35 Abs. 2 lit. a, Art. 56 Abs. 1 und 6, Art. 59 Abs. 1 lit. b und Abs. 3 lit. a KVG; Rückforderung von Vergütungen der Krankenversicherer an ärztliche Leistungserbringer bei Verstössen gegen das Wirtschaftlichkeitsgebot ("Überarztung"); tarifpartnerschaftlicher Vertrag betreffend die Screening-Methode zur Kontrolle der Wirtschaftlichkeit. Rechtsgrundlagen und Leitsätze der Rechtsprechung (E. 4.1 und 4.2); Abfolge der Verträge über die Methode zur Kontrolle der Wirtschaftlichkeit (E. 4.3); statistische Natur der Screening-Methode; Unterschied zur analytischen Methode (E. 4.4). Die Wirtschaftlichkeitsprüfung nach der Screening-Methode setzt sich aus einer Regressionsanalyse (Screening) und, bei auffälligem Resultat, einer anschliessenden Einzelfallprüfung zusammen (E. 5.2). Ein auffälliges Ergebnis der Regressionsanalyse bedeutet noch keine Feststellung von Unwirtschaftlichkeit. Insoweit handelt es sich nicht um eine Beweismethode. Ebenso wenig führt eine auffällige Kostenstruktur zu einer Umkehrung der Beweislast; der Leistungserbringer ist indes mitwirkungspflichtig (E. 5.3). Die im Rahmen des Screenings zu veranschlagende Toleranzmarge trägt vor allem der ärztlichen Behandlungsfreiheit Rechnung; die neue Methode wirkt sich nicht auf die Toleranzmarge aus (E. 5.4). Praxistypologische Merkmale (z.B. Selbstdispensation) sind auf Stufe der Einzelfallprüfung zu berücksichtigen, wenn sie nicht als Screening-Faktor implementiert werden können (E. 5.5.2). Praxisbesonderheiten, die sich auf Eigenschaften des Patientenkollektivs beziehen, kann gestützt auf Patientendossiers oder Statistiken Rechnung getragen werden, soweit sie nicht schon im Rahmen der Regressionsanalyse standardisiert worden sind (E. 5.5.3). Zum Verhältnis zwischen Wirtschaftlichkeitsprüfung und Schiedsgerichtsverfahren (E. 5.6). Da im vorliegenden Fall eine Einzelfallprüfung unterblieben ist, sind die Klage und folglich die vorinstanzlichen Entscheidungsgrundlagen unvollständig (E. 5.7 und 5.8). Die Führung einer Praxisapotheke (Selbstdispensation) ist grundsätzlich kostenrelevant (E. 6.4). Der in die Screening-Methode integrierte Morbiditätsfaktor Pharmaceutical Cost Groups (PCG; "pharmazeutische Kostengruppen") neutralisiert Mehrkosten infolge von Selbstdispensation nicht (E. 6.5). Möglichkeiten, um diesem Merkmal Rechnung zu tragen (E. 6.6).</w:t>
      </w:r>
    </w:p>
    <w:p>
      <w:pPr>
        <w:pStyle w:val="Heading2"/>
      </w:pPr>
      <w:r>
        <w:t>Erwägungen</w:t>
      </w:r>
    </w:p>
    <w:p>
      <w:r>
        <w:rPr>
          <w:b/>
        </w:rPr>
        <w:t>E. 4.1</w:t>
      </w:r>
    </w:p>
    <w:p>
      <w:r>
        <w:t>Die zu Lasten der obligatorischen Krankenpflegeversicherung abgerechneten Leistungen müssen wirksam, zweckmässig und wirtschaftlich sein ( Art. 32 Abs. 1 KVG ). Der Leistungserbringer muss seine Leistungen auf das Mass beschränken, das im Interesse der Versicherten liegt und für den Behandlungszweck erforderlich ist ( Art. 56 Abs. 1 KVG ). Gegen Leistungserbringer, die gegen die im Gesetz vorgesehenen Wirtschaftlichkeits- und Qualitätsanforderungen verstossen, werden Sanktionen ergriffen. Dazu gehört die gänzliche oder teilweise Rückerstattung der Honorare, welche für nicht angemessene Leistungen bezogen wurden (Art. 59 Abs. 1 lit. b und Abs. 3 lit. a KVG). Eine "Überarztung" (frz. polypragmasie , it. polipragmasia ) liegt vor, wenn ein Arzt im Vergleich mit anderen Ärzten im gleichen Einzugsgebiet und mit etwa gleichem Krankengut im Durchschnitt erheblich mehr verrechnet, ohne dass er Besonderheiten geltend machen könnte, die den Durchschnitt beeinflussen ( BGE 137 V 43 E. 2.2; BGE 136 V 415 E. 6.2). Voraussetzung für die Beurteilung der Wirtschaftlichkeit nach der statistischen Methode (dazu E. 4.2) ist zunächst, dass die Referenzgruppe hinreichend ähnlich zusammengesetzt ist ( BGE 137 V 43 E. 2.2). Nach der bisherigen, vor Einführung der (ab dem Rechnungsjahr 2017 anwendbaren) Screening-Methode (unten E. 4.3.2) geltenden Rechtsprechung ist eine unwirtschaftliche Tätigkeit nicht schon dann zu vermuten, wenn der Gesamtkostenindex der geprüften Arztpraxis den statistischen Mittelwert der Vergleichsgruppe (100 Indexpunkte) überschreitet. Vielmehr besteht eine Toleranz im Bereich von 120 bis 130 Indexpunkten. Darüber hinaus ist einem erhöhten Fallkostendurchschnitt infolge praxisspezifischer Kosteneffekte nach der bisherigen Praxis mit einem Zuschlag (zum Toleranzwert) Rechnung zu tragen, sofern die betreffenden Praxisbesonderheiten nicht bereits im Rahmen der anwendbaren Methode berücksichtigt sind ( BGE 137 V 43 E. 2.2; Urteile 9C_259/2023 vom 18. September 2023 E. 5.2; 9C_656/2020 vom 22. September 2021 E. 4.2; GEBHARD EUGSTER, Krankenversicherung [nachfolgend: SBVR], in: Soziale Sicherheit, SBVR Bd. XIV, 3. Aufl. 2016, S. 680 Rz. 890). Einen Zuschlag rechtfertigen demnach Merkmale wie etwa sehr viele langjährige und/oder ältere Patientinnen und Patienten, eine überdurchschnittliche Zahl von Hausbesuchen, ein sehr hoher Anteil an BGE 150 V 129 S. 134 ausländischen Patienten oder der Umstand, dass keine Notfallpatienten behandelt werden (vgl. Urteil 9C_558/2018 vom 12. April 2019 E. 8.2). Die Frage, ob eine unwirtschaftliche ambulante ärztliche Praxistätigkeit gegeben ist, und - gegebenenfalls - die Rückforderung beurteilen sich nach unterschiedlichen Voraussetzungen. Für die Wirtschaftlichkeit ist eine Gesamtbetrachtung aller Kosten massgebend, die vom Verhalten des Arztes abhängig sind. Der Gesamtkostenindex umfasst direkte und veranlasste Kosten pro Erkrankten, also auch solche für verordnete Medikamente, Laborleistungen, Mittel und Gegenstände sowie Physiotherapie. Liegt der Gesamtkostenindex ausserhalb des Toleranzbereichs, ist das Wirtschaftlichkeitsgebot verletzt. In diesem Fall ist die Rückerstattungspflicht zu prüfen. Eine Rückforderung ist begründet, soweit auch der Index der (totalen) direkten Kosten pro Erkrankten den Toleranzwert übertrifft. Dementsprechend sind nur direkte Kosten (einschliesslich der vom betreffenden Arzt abgegebenen Medikamente) rückforderbar ( BGE 137 V 43 E. 2.5; BGE 133 V 37 E. 5.3; Urteile 9C_535/2014 vom 15. Januar 2015 E. 5.4 und 9C_732/2010 vom 7. April 2011 E. 3.3 und 3.4).</w:t>
      </w:r>
    </w:p>
    <w:p>
      <w:r>
        <w:rPr>
          <w:b/>
        </w:rPr>
        <w:t>E. 4.2</w:t>
      </w:r>
    </w:p>
    <w:p>
      <w:r>
        <w:t>Die Rechtsprechung geht - auf der Grundlage der Situation vor Einführung des Screening-Modells (vgl. E. 4.3.2) - davon aus, die Wirtschaftlichkeit sei sowohl anhand der statistischen Methode (Durchschnittskostenvergleich) als auch der analytischen Methode (Einzelfallprüfung; dazu E. 4.4.2) - oder mittels einer Kombination beider Methoden - überprüfbar. Die statistische Methode beruht auf Statistiken, welche die Versicherer aufgrund der in Rechnung gestellten Vergütungen erstellen ( Art. 76 lit. b KVV [SR 832.102]); dabei werden die einzelnen in Rechnung gestellten Leistungen dem Inhaber der auf der betreffenden Abrechnung vermerkten Zahlstellenregister (ZSR)-Nummer zugerechnet ( BGE 135 V 237 E. 4.6.1; Urteil 9C_420/2022 vom 24. November 2022 E. 5.2). Der Durchschnittskostenvergleich stand lange Zeit in der Kritik (dazu PATRIZIA GRATWOHL, Gilt die Screening-Methode als Beweismethode?: Rechtliche Einordnung der in Wirtschaftlichkeitsprüfungen nach Art. 56 KVG verwendeten Regressionsanalyse, Jusletter 14. März 2022 Rz. 18 ff. mit Hinweisen; GEBHARD EUGSTER, KVG: Baustelle statistische Wirtschaftlichkeitsprüfung [nachfolgend: Baustelle], Jusletter 27. August 2012 Rz. 13 f.). Diese Kritik wurde in parlamentarischen Initiativen aufgegriffen (GRATWOHL, a.a.O., Rz. 19 ff. BGE 150 V 129 S. 135 mit Hinweisen). Die Diskussion führte schliesslich zur Einfügung von Art. 56 Abs. 6 in das KVG (Gesetzesänderung vom 23. Dezember 2011; in Kraft seit 1. Januar 2013). Nach dieser Bestimmung legen die Leistungserbringer und Krankenversicherer vertraglich eine Methode zur Kontrolle der Wirtschaftlichkeit fest.</w:t>
      </w:r>
    </w:p>
    <w:p>
      <w:r>
        <w:rPr>
          <w:b/>
        </w:rPr>
        <w:t>E. 4.3.1</w:t>
      </w:r>
    </w:p>
    <w:p>
      <w:r>
        <w:t>Dem gesetzlichen Auftrag von Art. 56 Abs. 6 KVG folgend verständigten sich der Berufsverband der Schweizer Ärztinnen und Ärzte (FMH) und die Verbände der Krankenversicherer (Santésuisse und Curafutura) in einem am 27. Dezember 2013/16. Januar 2014 abgeschlossenen Vertrag zunächst auf die Varianzanalyse ("Analysis of Variance", ANOVA) als statistische Methode zur Kontrolle der Wirtschaftlichkeit (Ziff. 1 des Vertrags; abrufbar, wie auch die späteren Vereinbarungen, unter www.tarifsuisse.ch /unsere-dienstleistungen/leistungsmanagement/wirtschaftlichkeitspruefung/). Zur Ermittlung des als Referenz dienenden Gesamtkostenindexes resp. Fallgruppenwertes werden nach der ANOVA-Methode auf einer ersten Stufe die logarithmierten mittleren Kosten pro Arzt um den Effekt der Zusammensetzung seiner Patienten nach Alter und Geschlecht bereinigt; auf einer zweiten Stufe erfolgt eine Standardisierung nach Facharztgruppe (FMH, bundesweit) und Praxisstandort (Kanton; TROTTMANN/FISCHER/VON RECHENBERG/TELSER, Weiterentwicklung der statistischen Methode zur Überprüfung der Wirtschaftlichkeit: Schlussbericht der Polynomics AG, Studie im Auftrag von FMH, Santésuisse und Curafutura, 2017, S. 7). Die Leistungserbringer und Versicherer kamen überein, das Varianzanalyse-Modell gemeinsam weiterzuentwickeln und unter anderem durch Morbiditätsvariablen zu ergänzen (Ziff. 2 des Vertrags). Inskünftig sollten möglichst viele äussere, durch das Verhalten des Arztes nicht direkt beeinflussbare kostenwirksame Faktoren bereits im statistischen Modell berücksichtigt werden. Die durchschnittlichen Behandlungskosten werden insbesondere durch die Morbidität der Patienten massgeblich beeinflusst. Mit dem Ausbau der Methode werden einerseits weniger Ärzte mit überdurchschnittlich morbidem Patientenkollektiv ungerechtfertigt auffällig; anderseits kann eine unwirtschaftliche Behandlungsweise von Leistungserbringern mit unterdurchschnittlich morbiden Patienten statistisch sichtbar werden. Da eine direkte Messung der Morbidität - etwa über diagnostische Codes - als schwierig gilt, bleibt nur eine indirekte Abbildung, so BGE 150 V 129 S. 136 über Indikatoren wie Alter oder Medikamentenkonsum (KESSLER/D'ANGELO/TRITTIN, Neue Wege bei der Wirtschaftlichkeitsprüfung, Schweizerische Ärztezeitung [SÄZ] 2017 S. 208 f.).</w:t>
      </w:r>
    </w:p>
    <w:p>
      <w:r>
        <w:rPr>
          <w:b/>
        </w:rPr>
        <w:t>E. 4.3.2</w:t>
      </w:r>
    </w:p>
    <w:p>
      <w:r>
        <w:t>Am 20. März 2018 vereinbarten die Verbände die Screening-Methode. Diese gilt für sämtliche Wirtschaftlichkeitskontrollverfahren ab dem Statistikjahr 2017. Es handelt sich um eine Weiterentwicklung der ANOVA-Methode. Die Screening-Methode besteht in einer zweistufigen Regressionsanalyse. Auf der ersten Stufe werden die - die Patienten betreffenden - bisherigen Morbiditätsfaktoren "Alter" und "Geschlecht" mit den Indikatoren "pharmazeutische Kostengruppen ( Pharmaceutical Cost Groups , PCG)", "Franchisen" und "Spital- oder Pflegeheimaufenthalt im Vorjahr" ergänzt. Die den Leistungserbringer betreffenden Indikatoren der zweiten Stufe (Facharztgruppe und Standortkanton) bleiben unverändert. Die Vereinbarung verweist auf die Beschreibung der Screening-Methode resp. zweistufigen Regressionsanalyse im Schlussbericht der Polynomics AG von September 2017 (TROTTMANN UND ANDERE, a.a.O.). Nicht zu verwechseln mit der zweistufigen Regressionsanalyse ist die Zweiteiligkeit der Wirtschaftlichkeitskontrolle insgesamt: Die Tarifpartner betrachten die vereinbarte Screening-Methode als bloss "ersten Schritt"; sie soll für die "Detektion von Ärzten mit auffälligen Kosten gemäss KVG zur Anwendung kommen" (dazu unten E. 4.4.1 a.E.).</w:t>
      </w:r>
    </w:p>
    <w:p>
      <w:r>
        <w:rPr>
          <w:b/>
        </w:rPr>
        <w:t>E. 4.3.3</w:t>
      </w:r>
    </w:p>
    <w:p>
      <w:r>
        <w:t>Der Vollständigkeit halber ist auf eine nach dem angefochtenen Entscheid erfolgte aktualisierte Fassung des Vertrags über die Screening-Methode vom 1. Februar 2023 (in Kraft seit 1. Januar 2023) hinzuweisen. Diese erläutert das Modell zusätzlich: Bei Leistungserbringern mit erhöhten Indexwerten werde unter anderem auf der Basis des Regressionsberichts eine erste interne Einzelfallanalyse durch Santésuisse und/oder Versicherer durchgeführt (Ziff. 2 Abs. 4). Der Leistungserbringer erhalte Gelegenheit, seine Sicht darzulegen, d.h. "allfällige im Rahmen der Screening-Methode nicht berücksichtigte Praxisbesonderheiten objektiv und nachvollziehbar aufzuzeigen, welche seine Praxis wesentlich von den Leistungserbringern seines Vergleichskollektivs unterscheiden und darum zu einem erhöhten Regressionsindexwert führen". Die betreffenden Sachverhalte seien durch Santésuisse und/oder Versicherer zu prüfen und, wenn relevant, zu berücksichtigen. Mache der Leistungserbringer Praxisbesonderheiten geltend, sei er "beweispflichtig" (Ziff. 2 Abs. 5). BGE 150 V 129 S. 137 Es stehe ihm jederzeit frei, "Rechtsvertreter oder weitere Experten zu bevollmächtigen und für die Verhandlungen bzw. das Verfahren beizuziehen" (Abs. 6). Der aktualisierte Vertrag beschränke nicht "die Kompetenz der Versicherer zur Geltendmachung und Durchsetzung allfälliger weiterer Ansprüche, die sich auf eine andere Grundlage als den vorliegenden Screening-Vertrag stützen (z.B. Einzelfallkontrollen, analytische Methode, Tarifcontrolling, Rechnungskontrollen respektive retrospektive systematische Rechnungskontrollen, Durchschnittskostenvergleiche)" (Ziff. 7 Abs. 1).</w:t>
      </w:r>
    </w:p>
    <w:p>
      <w:r>
        <w:rPr>
          <w:b/>
        </w:rPr>
        <w:t>E. 4.4</w:t>
      </w:r>
    </w:p>
    <w:p>
      <w:r>
        <w:t>Die Screening-Methode als solche ist statistischer Natur.</w:t>
      </w:r>
    </w:p>
    <w:p>
      <w:r>
        <w:rPr>
          <w:b/>
        </w:rPr>
        <w:t>E. 4.4.1</w:t>
      </w:r>
    </w:p>
    <w:p>
      <w:r>
        <w:t>Die ANOVA- und in deren Folge die Screening-Methode stellen eine Weiterentwicklung des Durchschnittskostenvergleichs dar. Der individuelle Fallwert (d.h. die vom überprüften Leistungserbringer während einer bestimmten Periode im Durchschnitt pro Patient durch Eigen- oder Drittleistungen ausgelösten Kosten des Krankenversicherers) wird dem Fallwert einer passenden Referenzgruppe (Gruppenfallwert) gegenübergestellt (GEBHARD EUGSTER, Wirtschaftlichkeitskontrolle ambulanter ärztlicher Leistungen mit statistischen Methoden [nachfolgend: Wirtschaftlichkeitskontrolle], 2003, Rz. 498). Ein Durchschnittskostenvergleich weist auf eine Überarztung hin, wenn eine ins Gewicht fallende Zahl von Rechnungen desselben Arztes an eine Krankenkasse im Vergleich zur Zahl von Rechnungen von Ärzten in geographisch gleichem Tätigkeitsbereich und mit etwa gleichem Krankengut im Durchschnitt erheblich höher ist, ohne dass den Durchschnitt beeinflussende Besonderheiten geltend gemacht werden können ( BGE 137 V 43 E. 2.2; JUANA VASELLA, in: Basler Kommentar, KVG, 2020, N. 139 zu Art. 56 KVG ). Die Berechnung der Indizes erfolgt aufgrund von Daten der Versicherer (Daten- und Tarifpool der SASIS AG, einem Unternehmen der Santésuisse-Gruppe). Das Ziel, über die Definition der Referenzgruppe Vergleichbarkeit herzustellen, wird mittels einer sog. Regressionsanalyse verfolgt. Im Sprachgebrauch der Statistik meint "Regression" den Einfluss einer (unabhängigen) Variablen (hier z.B. der Morbidität des Patientenkollektivs) auf eine (davon abhängige) Zielvariable (hier die Praxiskosten; vgl. DARIO PICECCHI, Das Wirtschaftlichkeitsgebot im Krankenversicherungsrecht, 2022, Rz. 566 mit Hinweisen). Anhand von gewichtenden Regressionsparametern resp. -koeffizienten wird bestimmt, in welchem Mass beispielsweise die Morbidität im konkreten BGE 150 V 129 S. 138 Fall kostenwirksam ist. Dies erlaubt es, anerkannte praxisspezifische Effekte zu standardisieren , d.h. die betreffenden Abweichungen auf den Durchschnittswert der betreffenden Vergleichsgruppe zu normieren. Durch eine solche Neutralisierung verhaltensunabhängiger kostenrelevanter Faktoren kann letztlich der Kosteneffekt einer unwirtschaftlichen Behandlung isoliert werden (vgl. BGE 144 V 79 E. 5.3.1; KOHLER/LEBER/LANGHART/MOLINE/REUST/KESSLER, santésuisse Wirtschaftlichkeitsprüfung: Dokumentation der Umsetzung des Regressionsmodells, 2023, passim; PICECCHI, a.a.O., Rz. 567). Im Unterschied zum ursprünglichen Durchschnittskostenvergleich wurden mit der Varianzanalyse (ANOVA-Methode) die Kosten der einzelnen Leistungserbringer erst einmal in Bezug auf die statistisch signifikanten Merkmale Alter und Geschlecht der Patienten sowie Kanton, in dem die ambulante ärztliche Tätigkeit ausgeübt wird, standardisiert: Die Kosten werden so ausgewiesen, als wäre die Alters- und Geschlechterverteilung in der untersuchten Praxis gleich wie in der Vergleichsgruppe als Ganze; ebenso wird simuliert, alle Leistungserbringer wären im selben Kanton tätig (Urteil 9C_558/2018 vom 12. April 2019 E. 7.1). Letzteres erlaubt es, den Vorteil einer möglichst grossen - gesamtschweizerischen - Vergleichsgruppe zu nutzen (vgl. BGE 144 V 79 E. 6.1) und gleichzeitig kantonal unterschiedlichen Kostenniveaus (kantonale Unterschiede bezüglich TARMED-Taxpunktwerten, unterschiedliche Infrastruktur- und Personalkosten etc.) gerecht zu werden (PICECCHI, a.a.O., Rz. 555). Zur Verfügung stehen ANOVA-Indizes betreffend die direkten Kosten (ohne Medikamente), die Medikamentenkosten (direkt und veranlasst) sowie die totalen Kosten (jeweils pro erkrankte Person; Urteil 9C_656/2020 vom 22. September 2021 E. 3.3). Die ab dem Statistikjahr 2017 anwendbare Screening-Methode ergänzt die im ANOVA-Modell enthaltenen Morbiditätsfaktoren "Alter" und "Geschlecht" mit den Indikatoren "pharmazeutische Kostengruppen (PCG)", "Franchisen" und "Spital- oder Pflegeheimaufenthalt im Vorjahr". Diese Erweiterung um zusätzliche Morbiditätsfaktoren bezweckt, Abweichungen von den Durchschnittskosten der betreffenden Facharztgruppe, die auf im Patientenkollektiv überdurchschnittlich häufig vorkommende, kostenintensive chronische Erkrankungen zurückzuführen sind, zu erfassen und von Auffälligkeiten abzugrenzen, die einer ineffizienten Behandlungsweise geschuldet sind. BGE 150 V 129 S. 139 Das Varianzanalysemodell ANOVA von 2014 wurde nur ansatzweise über seinen Zweck "zur Beurteilung von beobachteten Unterschieden zwischen Leistungserbringern innerhalb ihrer Vergleichsgruppe" beschrieben; im Übrigen wurde die Absicht zur Weiterentwicklung der Methodik (Ergänzung der "demographischen erklärenden Variablen" u.a. durch Morbiditätsvariablen, Erprobung und Validierung der Variablen auf der Grundlage "einer stetig sich verbessernden Datengrundlage in neuen statistischen Modellen") betont. Abgesehen von der erwähnten Integrierung von Morbiditätsfaktoren unterscheidet sich die Screening-Methode vom Vorgängermodell durch eine explizite Zweiteilung der Wirtschaftlichkeitsprüfung: Gegenstand der Vereinbarung ist allein die zweistufige Regressionsanalyse, die "als Screening-Methode zur Detektion von Ärzten mit auffälligen Kosten" dient. Auffällige Kosten sind nach diesem Konzept ausdrücklich nicht mit unwirtschaftlichem Arbeiten gleichzusetzen. Eine entsprechende Feststellung ist aufgrund einer Einzelfallanalyse ("zweiter Schritt") zu treffen, die nicht Gegenstand der Vereinbarung bildet.</w:t>
      </w:r>
    </w:p>
    <w:p>
      <w:r>
        <w:rPr>
          <w:b/>
        </w:rPr>
        <w:t>E. 4.4.2</w:t>
      </w:r>
    </w:p>
    <w:p>
      <w:r>
        <w:t>Gegenstück der statistischen Vergleichsmethode ist die analytische Methode der Einzelfallprüfung, auch systematische Methode genannt. Sie besteht in einer konkreten Beurteilung der einzelnen Rechnungen eines Leistungserbringers auf ihre Wirtschaftlichkeit hin. Erhoben wird, ob der diagnostische und therapeutische Aufwand unter Berücksichtigung des Krankheitsbildes und des angestrebten Heilungserfolgs vertretbar war (VASELLA, a.a.O., N. 135 zu Art. 56 KVG ; Urteil K 90/01 vom 27. November 2001 E. 3b; BGE 99 V 193 E. 3).</w:t>
      </w:r>
    </w:p>
    <w:p>
      <w:r>
        <w:rPr>
          <w:b/>
        </w:rPr>
        <w:t>E. 5</w:t>
      </w:r>
    </w:p>
    <w:p>
      <w:r>
        <w:t>Die Parteien und die Vorinstanz vertreten unterschiedliche Auffassungen darüber, ob die Vorgaben des tarifpartnerschaftlichen Vertrags betreffend die Screening-Methode nach formellen und materiellen Gesichtspunkten eingehalten sind (nachfolgend E. 5.1). Demgemäss ist auf die Ausgestaltung der Wirtschaftlichkeitsprüfung, namentlich die Zweiteilung in ein Screening zur "Detektion von Ärzten mit auffälligen Kosten" und eine anschliessende Einzelfallprüfung einzugehen; zu behandeln sind insbesondere die Auswirkungen auf die Methodenwahl (E. 5.2) und die beweisrechtlichen Folgen (E. 5.3). Strittig sind auch die Bemessung der Toleranzmarge im Rahmen des Screenings (E. 5.4) und die Handhabung kostenwirksamer Faktoren auf Stufe Einzelfallprüfung (E. 5.5). Schliesslich stellen sich Fragen im Verhältnis Wirtschaftlichkeitsprüfung und Schiedsgerichtsverfahren (E. 5.6-5.8). BGE 150 V 129 S. 140</w:t>
      </w:r>
    </w:p>
    <w:p>
      <w:r>
        <w:rPr>
          <w:b/>
        </w:rPr>
        <w:t>E. 5.1</w:t>
      </w:r>
    </w:p>
    <w:p>
      <w:r>
        <w:t>Das kantonale Schiedsgericht erwägt, es bestehe kein Grund, dem Beklagten folgend anstelle der statistischen Methode eine analytische Einzelfallprüfung vorzunehmen. Es bestünden keine Praxisbesonderheiten, die von der angewendeten Screening-Methode ausgespart würden. Der Beschwerdeführer rügt, die Vorinstanz habe Praxisbesonderheiten nicht angemessen berücksichtigt. Er betont, das Screening diene nur der Feststellung von statistischen Auffälligkeiten, die gegebenenfalls eine vollständige Einzelfallprüfung analytischer Art auslösten. Die Beschwerdegegner vertreten die Ansicht, die dem Screening nachgelagerte Einzelfallprüfung komme nur zum Tragen, wenn zusätzliche, d.h. mit dem Screening-Modell noch nicht berücksichtigte Praxisbesonderheiten geltend gemacht würden.</w:t>
      </w:r>
    </w:p>
    <w:p>
      <w:r>
        <w:rPr>
          <w:b/>
        </w:rPr>
        <w:t>E. 5.2</w:t>
      </w:r>
    </w:p>
    <w:p>
      <w:r>
        <w:t>Die seit dem Rechnungsjahr 2017 geltenden methodischen Vorgaben betonen die Zweiteilung der Wirtschaftlichkeitsprüfung.</w:t>
      </w:r>
    </w:p>
    <w:p>
      <w:r>
        <w:rPr>
          <w:b/>
        </w:rPr>
        <w:t>E. 5.2.1</w:t>
      </w:r>
    </w:p>
    <w:p>
      <w:r>
        <w:t>Die Tarifpartner halten im Vertrag vom 20. März 2018 eingangs fest, die Screening-Methode finde "Anwendung als erster Schritt der Wirtschaftlichkeitskontrolle". Gegenstand des Vertrags sei nur die Screening-Methode. Diese solle "künftig für die Detektion von Ärzten mit auffälligen Kosten gemäss KVG zur Anwendung kommen". Das Screening beinhalte eine zweistufige Regressionsanalyse (vgl. oben E. 4.3.2). Weise ein Arzt auffällige Kosten auf, so heisse dies nicht per se , dass er unwirtschaftlich arbeite. Mittels "Einzelfallanalyse" sei näher abzuklären, ob dies zutreffe (Ziff. 1 und 2 des Vertrags).</w:t>
      </w:r>
    </w:p>
    <w:p>
      <w:r>
        <w:rPr>
          <w:b/>
        </w:rPr>
        <w:t>E. 5.2.2</w:t>
      </w:r>
    </w:p>
    <w:p>
      <w:r>
        <w:t>In das Screening integrierte Faktoren verbessern die Treffgenauigkeit bei der Identifikation von Verdachtsfällen einer unwirtschaftlichen Behandlungsweise. Gleichzeitig bleibt aber intransparent, ob die einbezogenen Faktoren die tatsächlichen Verhältnisse effektiv abbilden. Je mehr Faktoren berücksichtigt werden, desto grösser wird diese Intransparenz. Umso wichtiger ist es, das provisorische Ergebnis des Screenings, d.h. den betreffenden Indexwert, anschliessend aufgrund einer vollständigen Einzelfallbetrachtung zu validieren.</w:t>
      </w:r>
    </w:p>
    <w:p>
      <w:r>
        <w:rPr>
          <w:b/>
        </w:rPr>
        <w:t>E. 5.2.3</w:t>
      </w:r>
    </w:p>
    <w:p>
      <w:r>
        <w:t>Vor Einführung des Screening-Modells war ein Vorgehen über die analytische (statt statistische) Methode alternativ möglich ( BGE 135 V 237 E. 4.6.1). Es ist davon auszugehen, dass die Tarifpartner die (vorläufige) Identifizierung von Auffälligkeiten, die auf eine unwirtschaftliche Behandlungsweise hindeuten könnten, BGE 150 V 129 S. 141 ausschliesslich über das vereinbarte Screening bewerkstelligen wollen. Insofern besteht auch kein Raum mehr für eine Kombination der statistischen mit der systematischen Kontrolle, wie sie unter der ANOVA-Methode zulässig war, etwa um ein statistisches Ergebnis zu bestätigen, dessen Zuverlässigkeit zweifelhaft erschien ( BGE 119 V 448 E. 4d; Urteile 9C_67/2018 vom 20. Dezember 2018 E. 12.3 und 9C_28/2017 vom 15. Mai 2017 E. 4.4; PICECCHI, a.a.O., Rz. 494). Einer solchen Verifizierung bedarf es nun nicht mehr, weil das Ergebnis des Screenings als solches nicht eine unwirtschaftliche Behandlungsweise aufzeigt, sondern erst einmal nur eine auffällige Kostenstruktur und damit die Notwendigkeit einer näheren Einzelfallprüfung.</w:t>
      </w:r>
    </w:p>
    <w:p>
      <w:r>
        <w:rPr>
          <w:b/>
        </w:rPr>
        <w:t>E. 5.2.4</w:t>
      </w:r>
    </w:p>
    <w:p>
      <w:r>
        <w:t>Die statistische Auffälligkeit löst eine "Einzelfallanalyse" aus ("zweiter Schritt" der Wirtschaftlichkeitsprüfung). Dabei werden die in der zweistufigen Regressionsanalyse ermittelten individuellen Indexwerte auf die tatsächlichen Verhältnisse abgestimmt (vgl. HAEFELI/SCHWARZ, Umsetzung der TARMED-Verträge - aber richtig!, SÄZ 2019 S. 1011 ff.; KESSLER/BRUNNER/TRITTIN, Neue Screening-Methode im Rahmen der Wirtschaftlichkeitskontrolle, SÄZ 2018 S. 1390 f.). Die Behandlungsweise des statistisch auffälligen Arztes wird individuell beurteilt; er erhält Gelegenheit, sein Kostenbild zu begründen. Bei der Einzelfallprüfung soll aber nicht eine Auswertung der Patientendossiers im Vordergrund stehen (vgl. KOHLER UND ANDERE, a.a.O., S. 3). Entgegen der Auffassung des Beschwerdeführers ist die "Einzelfallanalyse", mit welcher der im Screening erkannten Kostenauffälligkeit weiter nachgegangen wird, also nicht im Sinn der herkömmlichen analytischen Prüfmethode (alternativ zur statistischen Methode) zu verstehen. Situativ wird freilich weiterhin je nach Bedarf auf ausgewählte Patientendossiers zurückzugreifen sein; so ist es etwa nicht ausgeschlossen, dass Praxisbesonderheiten, deren Kostenwirksamkeit nicht auf statistischem Weg bezifferbar ist, unter Beizug eines vertrauensärztlichen Dienstes anhand der stichprobeweisen Auswertung einer repräsentativen Anzahl von konkreten Rechnungen analysiert werden. Anzumerken bleibt, dass das methodische Auswahlermessen nicht so weit geht, dass anstelle der Screening-Methode und der allfällig folgenden Einzelfallbeurteilung gleichsam voraussetzungslos auf eine andere Art der Prüfung ausgewichen werden dürfte (vgl. Vertrag betreffend die Screening-Methode in der Fassung vom 1. Februar 2023 Ziff. 7 Abs. 1; oben E. 4.3.3 a.E.). Eine solche methodische BGE 150 V 129 S. 142 Beliebigkeit würde die Garantien einer gleichmässigen und angemessenen Kontrolle der Wirtschaftlichkeit unterlaufen, zu der der Gesetzgeber die beteiligten Akteure mit Art. 56 Abs. 6 KVG verpflichtet hat (vgl. E. 4.2).</w:t>
      </w:r>
    </w:p>
    <w:p>
      <w:r>
        <w:rPr>
          <w:b/>
        </w:rPr>
        <w:t>E. 5.3</w:t>
      </w:r>
    </w:p>
    <w:p>
      <w:r>
        <w:t>Der Umstand, dass das Ergebnis des Screenings resp. der Regressionsanalyse noch keine Unwirtschaftlichkeit feststellt, zeitigt beweisrechtliche Auswirkungen.</w:t>
      </w:r>
    </w:p>
    <w:p>
      <w:r>
        <w:rPr>
          <w:b/>
        </w:rPr>
        <w:t>E. 5.3.1</w:t>
      </w:r>
    </w:p>
    <w:p>
      <w:r>
        <w:t>Der Beschwerdeführer hat recht, wenn er geltend macht, dass mit dem Screening als solchem allein keine unwirtschaftliche Behandlung festgestellt wird und es demnach auch nicht Grundlage einer Rückforderung sein kann. Diese erfolgt immer erst aufgrund einer Einzelfallprüfung im Sinn der tarifpartnerschaftlichen Vereinbarung. Die Differenz zwischen dem - anhand der Screening-Methode, d.h. der zweistufigen Regressionsanalyse modifizierten - Durchschnittskostenwert des beurteilten Leistungserbringers und dem (auf 100 Punkte gestellten) Referenzwert der entsprechenden Vergleichsgruppe (zuzüglich Toleranzmarge) zeigt zunächst einmal nur, ob eine Auffälligkeit besteht; sie begründet einen entsprechenden Verdacht. Der im Screeningverfahren ermittelte "auffällige" Indexwert entspricht sozusagen einer red flag , einem Warnsignal hinsichtlich einer möglicherweise unwirtschaftlichen Behandlungsweise. Die diesfalls indizierte Einzelfallprüfung, bei der namentlich die individuellen Besonderheiten der Arztpraxis betrachtet werden, fördert anschliessend zutage, ob die zuvor infrage gestellte Wirtschaftlichkeit der Leistungserbringung auch tatsächlich im Sinn von Art. 59 KVG verletzt ist. Erst diese vollständige Feststellung kann Grundlage einer Rückerstattungsklage beim kantonalen Schiedsgericht sein (vgl. Art. 59 Abs. 2 KVG ).</w:t>
      </w:r>
    </w:p>
    <w:p>
      <w:r>
        <w:rPr>
          <w:b/>
        </w:rPr>
        <w:t>E. 5.3.2</w:t>
      </w:r>
    </w:p>
    <w:p>
      <w:r>
        <w:t>Eine im Screening konstatierte Auffälligkeit erbringt somit keinen Nachweis für eine Überarztung, sondern leitet ein entsprechendes Feststellungsverfahren ein. Daraus folgt, dass die bislang herrschende Ansicht, die statistische Methode sei eine "Beweismethode" ( BGE 136 V 415 E. 6.2), seit Einführung des Screening-Modells überholt ist (GRATWOHL, a.a.O., Rz. 32 f., 44 f.). Aus dem gleichen Grund führt eine im Screening angezeigte Auffälligkeit nicht zu einer Beweislastumkehr. Der allgemeinen Regel nach Art. 8 ZGB entsprechend bleiben nach Feststellung einer auffälligen Kostenstruktur grundsätzlich die Krankenversicherer beweisbelastet, zumal was die Folgen einer allfälligen Beweislosigkeit betrifft (sog. materielle Beweislast); dies indessen mit der Einschränkung, dass der betroffene BGE 150 V 129 S. 143 Leistungserbringer im Zusammenhang mit geltend gemachten Praxisbesonderheiten zur Mitwirkung verpflichtet ist, soweit er über die Daten verfügt, die zur Interpretation der statistischen Daten erforderlich sind (vgl. Urteil 9C_259/2023 vom 18. September 2023 E. 5.6.2; VALÉRIE JUNOD, Polypragmasie: Analyse d'une procédure controversée, CGSS 40/2008 S. 148). Soweit Praxisbesonderheiten nicht augenfällig sind, muss der Leistungserbringer jedenfalls glaubhaft machen, unter welchen Gesichtspunkten eine Einzelfallanalyse vorzunehmen ist und inwiefern die im Rahmen des Screenings erkannte Auffälligkeit einer Praxisbesonderheit zuzuschreiben sei.</w:t>
      </w:r>
    </w:p>
    <w:p>
      <w:r>
        <w:rPr>
          <w:b/>
        </w:rPr>
        <w:t>E. 5.4</w:t>
      </w:r>
    </w:p>
    <w:p>
      <w:r>
        <w:t>Die Toleranzmarge ist praxisgemäss als Zuschlag von 20 bis 30 Punkten zum Referenzindex zu veranschlagen (oben E. 4.1). Die Vorinstanz fixiert die Toleranz bei 20 Punkten. Sie begründet dies damit, die neue Screening-Methode erhöhe die statistische Präzision wesentlich, indem sie Praxisbesonderheiten einschliesse, die unter der ANOVA-Methode noch nicht berücksichtigt gewesen seien. Die Toleranzmarge ist Teil des Screenings von auffälligen Kostenstrukturen. Ihr Zweck ist es, den individuellen "Praxisstil" des Leistungserbringers zu respektieren. Sie wahrt den Grundsatz der ärztlichen Behandlungsfreiheit ( BGE 103 V 145 E. 6; EUGSTER, SBVR, a.a.O., Rz. 902; derselbe , Wirtschaftlichkeitskontrolle, a.a.O., Rz. 408, 806 ff.; derselbe , Überarztung aus juristischer Sicht, in: Rechtsfragen zum Krankheitsbegriff, Gächter/Schwendener [Hrsg.], 2009, Rz. 57). An dieser Stelle des - ansonsten der Kosteneffizienz verpflichteten - Verfahrens wird dem Umstand Rechnung getragen, dass der angestrebte Heilungserfolg (Behandlungsoutput) auf unterschiedlichen therapeutischen Wegen erreicht werden kann (vgl. PICECCHI, a.a.O., Rz. 524, 548; JUNOD, a.a.O., S. 154 f.). Soweit die Toleranz nicht dazu bestimmt ist, einer "technischen", methodenbedingten Standardabweichung Rechnung zu tragen, ist nicht ersichtlich, inwiefern die mit der Screening-Methode verbundene bessere Berücksichtigung der Morbidität - also einer Eigenschaft des Patientenkollektivs - den richtig verstandenen Toleranzbereich tangieren sollte. Auch quantifizierbare Praxisbesonderheiten sind nicht über die pauschale Toleranzmarge zu veranschlagen (EUGSTER, Wirtschaftlichkeitskontrolle, a.a.O., Rz. 807), sondern je für sich auf Grundlage einer statistischen Feststellung oder einer Schätzung (unten E. 5.5). Die Vorinstanz überschreitet somit ihr methodisches Auswahlermessen (vgl. Urteil 9C_721/2020 vom 19. Oktober 2021 E. 4.3.2), wenn sie den Toleranzbereich mit Hinweis auf die verbesserte BGE 150 V 129 S. 144 methodische Spezifikation in einen unveränderlichen Zuschlag von 20 Punkten verwandelt. Die Toleranzmarge bewegt sich unter Geltung der Screening-Methode weiterhin in einem Bereich von mindestens 20 bis höchstens 30 Punkten. Die Bestimmung des Zuschlags im Einzelfall steht im Ermessen der Krankenversicherer resp. des Schiedsgerichts. Für die Ermessensausübung wird beispielsweise wegleitend sein, ob der betreffende Leistungserbringer auf bestimmte Krankheiten oder besondere Therapieformen spezialisiert ist, sofern diese nicht als Praxisbesonderheiten zu berücksichtigen sind.</w:t>
      </w:r>
    </w:p>
    <w:p>
      <w:r>
        <w:rPr>
          <w:b/>
        </w:rPr>
        <w:t>E. 5.5</w:t>
      </w:r>
    </w:p>
    <w:p>
      <w:r>
        <w:t>Strittig ist des Weiteren, wie Faktoren, die die Kostenstruktur der Praxis des Beschwerdeführers beeinflussen, zu handhaben sind.</w:t>
      </w:r>
    </w:p>
    <w:p>
      <w:r>
        <w:rPr>
          <w:b/>
        </w:rPr>
        <w:t>E. 5.5.1</w:t>
      </w:r>
    </w:p>
    <w:p>
      <w:r>
        <w:t>Trotz eines auffälligen Regressionsindexes können überdurchschnittliche Kosten gegebenenfalls durch praxisspezifische Effekte erklärt und damit der Verdacht einer unwirtschaftlichen Behandlungsweise widerlegt werden. Art und Umfang der Einzelfallprüfung richten sich nach augenscheinlichen oder glaubhaft gemachten Praxismerkmalen. Dies gilt ohne Weiteres, soweit die Variablen des zweistufigen Screenings die Merkmale nicht abschliessend erfassen. Es kann aber auch nötig erscheinen, bereits in der Regressionsanalyse berücksichtigte Faktoren zu validieren (vgl. unten E. 5.5.3).</w:t>
      </w:r>
    </w:p>
    <w:p>
      <w:r>
        <w:rPr>
          <w:b/>
        </w:rPr>
        <w:t>E. 5.5.2</w:t>
      </w:r>
    </w:p>
    <w:p>
      <w:r>
        <w:t>Das zu prüfende Merkmal kann praxistypologischer, "kategorialer" Art sein, namentlich wenn der Leistungserbringer über besondere Befugnisse (z.B. Führung einer Praxisapotheke) oder über eine fachliche Spezialisierung verfügt, die sich auf die Zusammensetzung des Patientenkollektivs auswirkt (vgl. EUGSTER, Wirtschaftlichkeitskontrolle, a.a.O., Rz. 415 ff. und 422 ff.). Ein auf die Praxistypologie abzielendes Merkmal ist vorzugsweise schon im Rahmen des Screenings zu berücksichtigen, um falsch positive (auffällige) Treffer (oder auch falsch negative Befunde) von vornherein zu vermeiden. Dazu müsste indes eine entsprechende Referenzgruppe geschaffen werden (EUGSTER, Wirtschaftlichkeitskontrolle, a.a.O., Rz. 423; derselbe , Baustelle, a.a.O., Rz. 28). Sofern keine spezifizierte Vergleichsgruppe gebildet werden kann (vgl. unten E. 6.2.3 und 6.6.1), bedarf es wenigstens eines entsprechenden Korrektivs auf der Stufe der Einzelfallprüfung, indem die Differenz zwischen Praxisindexwert und Vergleichsindex um den anhand statistischer Daten ausgewiesenen Praxiseffekt vermindert wird. Alternativ kann das Korrektiv auch durch eine ergänzende analytische (systematische) Einzelfallkontrolle eruiert werden, so mit einer BGE 150 V 129 S. 145 stichprobeweisen Auswertung einer Anzahl repräsentativer Fälle der betreffenden Praxis und anschliessender Hochrechnung (vgl. Urteil 9C_67/2018 vom 20. Dezember 2018 E. 12.3; PETROV/HACK-LEONI, Methoden der Wirtschaftlichkeitskontrolle - ein Überblick, Pflegerecht 2021 S. 166 und 168).</w:t>
      </w:r>
    </w:p>
    <w:p>
      <w:r>
        <w:rPr>
          <w:b/>
        </w:rPr>
        <w:t>E. 5.5.3</w:t>
      </w:r>
    </w:p>
    <w:p>
      <w:r>
        <w:t>Von den vorerwähnten "kategorialen" Merkmalen des Leistungserbringers zu unterscheiden sind Praxisbesonderheiten, die sich auf veränderliche Eigenschaften des Patientenkollektivs beziehen (vgl. EUGSTER, Wirtschaftlichkeitskontrolle, a.a.O., Rz. 409 ff.). Unter diesem Titel relevant sein können z.B. ein überdurchschnittlicher Ausländeranteil, häufige Hausbesuche in einem grossen Einzugsgebiet oder das Fehlen von Notfallpatienten (vgl. Urteil 9C_259/2023 vom 18. September 2023 E. 5.2). Doch auch Gesichtspunkte der Morbidität bedürfen einer näheren Betrachtung, soweit sie nicht bereits zuvor im Rahmen der Regressionsanalyse standardisiert worden sind. Entgegen der Auffassung von Beschwerdegegnern und Vorinstanz schliesst der Umstand, dass ein kostenwirksamer Faktor in das Screening-Modell integriert ist, eine weitere Berücksichtigung als Praxisbesonderheit nicht von vornherein aus. Zu bedenken ist, dass ein Morbiditätsfaktor nicht immer ohne Weiteres valid, d.h. im konkreten Fall tatsächlich geeignet ist, die erwartete Erkenntnis zu liefern. So kann es beispielsweise vorkommen, dass in einer Praxis aufgrund einer bestimmten fachlichen Spezialisierung überdurchschnittlich viele Chronischkranke mit hohem Betreuungsbedarf behandelt werden und aus krankheitsspezifischen Gründen trotzdem vergleichsweise wenig Medikamente verordnet oder abgegeben werden. In einer solchen Situation zeigt der Morbiditätsfaktor " Pharmaceutical Cost Groups " (PCG; vgl. E. 6.5.2) eine tiefe Morbidität an, die den tatsächlichen Verhältnissen nicht gerecht wird. Hier kann der Leistungserbringer auch unter der Screening-Methode geltend machen, dass ein entsprechendes Korrektiv im Einzelfall geprüft wird. Aus der (dossier- und/oder statistikgestützten) Einzelfallanalyse resultiert gegebenenfalls eine Korrektur, indem die Differenz zwischen Praxisindexwert und Vergleichsindex um den betreffenden Effekt vermindert wird.</w:t>
      </w:r>
    </w:p>
    <w:p>
      <w:r>
        <w:rPr>
          <w:b/>
        </w:rPr>
        <w:t>E. 5.5.4</w:t>
      </w:r>
    </w:p>
    <w:p>
      <w:r>
        <w:t>Im Übrigen empfiehlt der (von den Tarifpartnern zum integrierten Bestandteil der Vereinbarung über die Screening-Methode erklärte) Schlussbericht der Polynomics AG, eine "Standardabweichung" resp. einen "Unsicherheitsfaktor für den praxisspezifischen Effekt" in die Betrachtung des Einzelfalls einzubeziehen: Danach BGE 150 V 129 S. 146 könnten ausgeprägte "Ausreisser" einen praxisspezifischen Effekt verändern, obwohl sie - im Gegensatz zu Auffälligkeiten, die systematisch über den erwarteten Kosten liegen - wahrscheinlich nichts mit der Wirtschaftlichkeit der Behandlungsweise zu tun haben (TROTTMANN UND ANDERE, Schlussbericht der Polynomics AG, a.a.O., S. 8, 22 ff.; vgl. KOHLER UND ANDERE, a.a.O., S. 8). EUGSTER legt nahe, entsprechende Behandlungsfälle wenn möglich auszusondern anstatt sie als Praxisbesonderheit zu behandeln (SBVR, a.a.O., Rz. 890).</w:t>
      </w:r>
    </w:p>
    <w:p>
      <w:r>
        <w:rPr>
          <w:b/>
        </w:rPr>
        <w:t>E. 5.6</w:t>
      </w:r>
    </w:p>
    <w:p>
      <w:r>
        <w:t>Der bisherige Verlauf des Verfahrens wirft sodann Fragen zum Verhältnis zwischen Wirtschaftlichkeitsprüfung und Schiedsgerichtsverfahren auf. Angesichts des zweiteiligen Prüfverfahrens mit Screening und allfälliger Analyse des Einzelfalls darf die Auseinandersetzung mit kostenwirksamen Praxismerkmalen nicht auf das schiedsgerichtliche Verfahren verschoben werden, selbst wenn die Schiedsgerichte die für den Entscheid erheblichen Tatsachen unter Mitwirkung der Parteien - ergänzend - feststellen können, sie die notwendigen Beweise erheben und in der Beweiswürdigung frei sind ( Art. 89 Abs. 5 KVG ). Bereits in der Phase der Einzelfallprüfung hat der Leistungserbringer die Möglichkeit, "allfällige im Rahmen der Screening-Methode nicht berücksichtigte Praxisbesonderheiten objektiv und nachvollziehbar aufzuzeigen, welche seine Praxis wesentlich von den Leistungserbringern seines Vergleichskollektivs unterscheiden und darum zu einem erhöhten Regressionsindexwert führen" (so nunmehr ausdrücklich festgehalten in Ziff. 2 Abs. 5 des Vertrags betreffend die Screening-Methode in der ab 1. Januar 2023 geltenden Fassung). Die Einzelfallprüfung durch die Krankenkassen resp. durch den von ihnen ermächtigten Verband ist somit partizipativ angelegt, dies auch mit dem Ziel, sich gegebenenfalls im Dialog mit dem überprüften Leistungserbringer gütlich zu einigen. Das kontradiktorische und förmliche Klageverfahren, in dem die prüfende Instanz zur Partei wird, ist weniger geeignet, die von hoher Technizität geprägte Aufarbeitung der Grundlagen des klageweise geltend gemachten Rückerstattungsanspruchs wirksam nachzuholen. Der Umstand, dass die Schiedsgerichte paritätisch mit einer Vertretung der Versicherer und der betroffenen Leistungserbringer besetzt sind ( Art. 89 Abs. 4 KVG ) und damit bis zu einem gewissen Grad auch über entsprechendes Fachwissen verfügen, ändert daran nichts. Die beim kantonalen Schiedsgericht einzubringende Klage muss daher auf den Ergebnissen BGE 150 V 129 S. 147 einer kompletten Einzelfallprüfung beruhen. Aufgabe des Schiedsgerichts ist es, weiterhin bestrittene Erkenntnisse aus der Einzelfallprüfung zu überprüfen und den Rechtsstreit wenn möglich in einem Vermittlungsverfahren beizulegen oder andernfalls autoritativ zu entscheiden.</w:t>
      </w:r>
    </w:p>
    <w:p>
      <w:r>
        <w:rPr>
          <w:b/>
        </w:rPr>
        <w:t>E. 5.7</w:t>
      </w:r>
    </w:p>
    <w:p>
      <w:r>
        <w:t>Vorliegend ergibt sich aus den Akten, dass keine Einzelfallprüfung stattgefunden hat.</w:t>
      </w:r>
    </w:p>
    <w:p>
      <w:r>
        <w:rPr>
          <w:b/>
        </w:rPr>
        <w:t>E. 5.7.1</w:t>
      </w:r>
    </w:p>
    <w:p>
      <w:r>
        <w:t>In einem Schreiben vom 4. Juni 2019 informierte die Santésuisse den Beschwerdeführer über die Statistikdaten des Jahres 2017 und gab ihm die entsprechenden Kennzahlen bekannt. Sie stellte fest, der Regressionsindex von 144 Punkten überschreite die Toleranzschwelle und sei somit statistisch auffällig. Dem Schreiben lagen die Rechnungssteller-Statistiken 2013-2017 sowie die Wirtschaftlichkeitsprüfung für das Statistikjahr 2017 bei. Zum weiteren Vorgehen eröffnete die Santésuisse dem Beschwerdeführer, aufgrund der "bisherigen Abklärungen und Einschätzungen sowie den laufenden Gerichtsverfahren" werde eine "Eingabe aufgrund der Rechnungssteller-Statistik 2017 beim zuständigen kantonalen Schiedsgericht" folgen. Diese Eingabe diene in erster Linie der Fristwahrung. Die Berechnung der Rückforderung von Fr. 336'368.- berücksichtige noch keine weiteren Praxismerkmale. Zur Klärung der Kostenabweichung und gemeinsamen Lösungsfindung sei man nach wie vor an einer gütlichen Einigung interessiert. Das Schreiben schliesst mit den Sätzen: "Gerne erwarten wir Ihre Rückmeldung bis am 21. Juni 2019, ob Sie an bilateralen Gesprächen interessiert sind oder nicht. Ohne Ihren Gegenbericht gehen wir davon aus, dass Sie die weiteren Verhandlungen auf dem gerichtlichen Wege führen möchten. In diesem Fall sehen wir von einem Sistierungsantrag der Eingabe ab".</w:t>
      </w:r>
    </w:p>
    <w:p>
      <w:r>
        <w:rPr>
          <w:b/>
        </w:rPr>
        <w:t>E. 5.7.2</w:t>
      </w:r>
    </w:p>
    <w:p>
      <w:r>
        <w:t>Mit Rückforderungsklage vom 8. Juli 2019 machten die Krankenversicherer für das Statistikjahr 2017 einen Regressionsindex totale Kosten von 144 Punkten geltend. Der Beklagte sei in der Regressionsanalyse mit der Facharztgruppe Allgemeine Innere Medizin zu vergleichen, die schweizweit 5'497 Praxen umfasse. Die Differenz zwischen dem Index totale Kosten des Arztes und dem Referenzindex 120 (d.h. einschliesslich einer Toleranzmarge von 20 Prozent) entspreche einer Kostenüberschreitung von 24 Punkten. Bei totalen Kosten (TK) von Fr. 2'332'413.- (einschliesslich veranlasster Kosten) und totalen direkten Kosten (TDK) von Fr. 2'018'212.-, einem BGE 150 V 129 S. 148 Regressionsindex (RI) von 144 und Toleranzbereich (TB) von 120 errechne sich eine Rückforderungssumme von Fr. 336'368.- (Formel: TK:RI x (RI-TB) x TDK:TK). Betreffend den Ablauf des Wirtschaftlichkeitsverfahrens wiesen die Kläger auf das Schreiben vom 4. Juni 2019 hin. Der Beklagte habe nicht innert gesetzter Frist Stellung genommen.</w:t>
      </w:r>
    </w:p>
    <w:p>
      <w:r>
        <w:rPr>
          <w:b/>
        </w:rPr>
        <w:t>E. 5.7.3</w:t>
      </w:r>
    </w:p>
    <w:p>
      <w:r>
        <w:t>Während des vorinstanzlichen Verfahrens bemühten sich die Parteien um einen Vergleich. Ein solcher kam aber nicht zustande. In einer Stellungnahme vom 18. März 2021 an das Schiedsgericht führten die Kläger aus, die Einzelfallanalyse sei in diesem Fall gemacht worden. Der Beklagte habe alle zusätzlichen, d.h. im Regressionsindex nicht eingeschlossenen, "auf Diagnosen beruhenden" Kostenfaktoren vorbringen können. Diese seien auch berücksichtigt worden. Man sei zum Ergebnis gekommen, dass die hohen Kosten aufgrund der vorliegenden Informationen, auch aus früheren Statistikjahren, nicht mit Praxisbesonderheiten erklärt werden könnten. Um auch bis dahin nicht bekannte Faktoren berücksichtigen zu können, sei der Beklagte mit dem Schreiben vom 4. Juni 2019 mit allen Details dokumentiert und um Stellungnahme ersucht worden. Durch Stillschweigen habe er den klägerischen Ausführungen implizit zugestimmt.</w:t>
      </w:r>
    </w:p>
    <w:p>
      <w:r>
        <w:rPr>
          <w:b/>
        </w:rPr>
        <w:t>E. 5.7.4</w:t>
      </w:r>
    </w:p>
    <w:p>
      <w:r>
        <w:t>Das Schiedsgericht hält fest, die Anwendung der statistischen Methode eines Durchschnittskostenvergleichs in Form der zweistufigen Regressionsanalyse sei nicht zu beanstanden. Die Klage werde mit den eingereichten Regressionsberichten rechtsgenüglich dokumentiert. Damit sei die vom Beklagten monierte fehlende Nachvollziehbarkeit der Regressionsindizes formal behoben und eine Beurteilung der Wirtschaftlichkeitsprüfung zuverlässig gewährleistet. Die zweistufige Regressionsanalyse nach dem Screening-Modell erlaube (im Vergleich mit der ANOVA-Methode) eine präzisere Erfassung der statistischen Auffälligkeiten resp. deren spezifischere Identifikation. Die neu entwickelte Methode sehe nicht vor, bei statistisch auffälligen Ärzten in einem zweiten Schritt systematisch die analytische Methode anzuwenden, d.h. eine repräsentative Anzahl von Rechnungen nach dem diagnostischen und therapeutischen Aufwand zu überprüfen. Die Zweistufigkeit beziehe sich allein auf das Vorgehen zur Festlegung des Regressionsindexes. Bei statistisch auffälligen Ärzten systematisch die analytische Methode anzuwenden scheine auch nicht zielführend, weil dies die neu erarbeitete Regressionsanalyse infrage stellen würde: Es bleibe dabei, dass die Überarztung BGE 150 V 129 S. 149 anhand einer statistischen Auswertung und eines Durchschnittskostenvergleichs festgestellt werde. Liege der Index über 120 Punkten, sei eine Überarztung im Rahmen des ersten Prüfschritts grundsätzlich plausibilisiert. Im zweiten Prüfschritt sei danach zu klären, ob weitere Praxisbesonderheiten vorlägen, die allenfalls eine Erhöhung des Referenzindexes rechtfertigten. Entgegen der Auffassung des Beklagten, der mit der Gesamtheit der Fachärzte Allgemeine Innere Medizin zu vergleichen sei, bestehe kein Anlass, die Referenzgruppe aufgrund absolvierter Weiterbildungen (u.a. Akupunktur, chinesische Arzneitherapie, Sonographie) enger zu fassen. Dem Umstand, dass seine Patienten wegen dieser Weiterbildungen eine vom Durchschnitt abweichende Morbidität aufwiesen, werde mit dem erweiterten Variablensatz der Screening-Methode hinreichend Rechnung getragen. Der Index sei bereits entsprechend bereinigt; die Morbidität könne nicht ein zweites Mal berücksichtigt werden. Des Weiteren werde die Morbidität des Patientenkollektivs u.a. durch PCG abgebildet. Damit würden Versicherte mit kostenintensiven, chronischen Krankheiten und entsprechend hohem Leistungsbedarf aufgrund ihres Arzneimittelbedarfs (Wirkstoff und Menge) identifiziert. Weil die Polymorbidität der Patienten bereits in den Ergebnissen der Regressionsanalyse enthalten sei, stelle sie von vornherein keine Praxisbesonderheit dar. Im Anschluss an diese Erwägungen korrigierte die Vorinstanz den eingeklagten Rückforderungsbetrag, indem sie in der von den Klägern verwendeten Berechnungsformel für die Rückforderung den Regressionsindex Gesamtkosten mit dem Regressionsindex "Arztkosten, Taxpunkte (direkt)" (179 Punkte) ersetzte (vgl. oben E. 4.1 a.E.) und so (ausgehend von direkten Arztkosten 2017 von Fr. 810'046.-) ein Rückforderungsbetreffnis von Fr. 266'998.40 ermittelte (E. 6).</w:t>
      </w:r>
    </w:p>
    <w:p>
      <w:r>
        <w:rPr>
          <w:b/>
        </w:rPr>
        <w:t>E. 5.8.1</w:t>
      </w:r>
    </w:p>
    <w:p>
      <w:r>
        <w:t>Das zweiteilige Wirtschaftlichkeitsverfahren setzt voraus, dass sich eine (allfällige) Klage auf das Ergebnis einer Einzelfallprüfung stützt. Nach der klaren Konzeption des Screening-Vertrags ist der Leistungserbringer aufzufordern, die Besonderheiten seiner Praxis zu benennen und zu substantiieren. Im vorliegenden Fall haben die Krankenversicherer vorab "Verhandlungen auf dem gerichtlichen Wege" in Aussicht gestellt. Es genügt indessen nicht, eine Klage anzukündigen und dem Adressaten Gelegenheit zur Stellungnahme zu geben, ohne ihm dabei vor Augen zu führen, dass die Klage auf davon abhängigen Abklärungen beruhen wird. Wenn aus Gründen der BGE 150 V 129 S. 150 Fristwahrung mit der Einreichung einer Klage nicht mehr zugewartet werden kann, ist dem Schiedsgericht zu beantragen, das Klageverfahren bis zum Abschluss der Einzelfallprüfung zu sistieren.</w:t>
      </w:r>
    </w:p>
    <w:p>
      <w:r>
        <w:rPr>
          <w:b/>
        </w:rPr>
        <w:t>E. 5.8.2</w:t>
      </w:r>
    </w:p>
    <w:p>
      <w:r>
        <w:t>Entgegen den Erwägungen der Vorinstanz dokumentieren Regressionsberichte allein keine vollständige Wirtschaftlichkeitsprüfung. Das Schiedsgericht schätzt die Tragweite der tarifvertraglich vorgeschriebenen Einzelfallprüfung unzutreffend ein, wenn es ausführt, die neue Methode sehe nicht mehr vor, dass im Fall auffälliger Kosten in einem zweiten Schritt systematisch die analytische Methode anzuwenden sei. Richtig ist zwar, dass die Einzelfallprüfung nicht auf diesem Weg erfolgen muss (oben E. 5.2.4). Die zweistufige Regressionsanalyse ist indessen nicht mit der Zweiteilung der Wirtschaftlichkeitsprüfung in eine (vorläufige) Regressionsanalyse und eine anschliessende Einzelfallanalyse zu verwechseln. Die Einzelfallprüfung ist der tarifvertraglichen Konzeption nach eine umfassende; individuelle Praxismerkmale sind auf ihre effektive Tragweite hin abzuklären, auch wenn sie bereits im erweiterten Variablensatz der - bloss zur Aufdeckung von Verdachtsfällen bestimmten - Screening-Methode erfasst worden sind (E. 5.5.1 und 5.5.3).</w:t>
      </w:r>
    </w:p>
    <w:p>
      <w:r>
        <w:rPr>
          <w:b/>
        </w:rPr>
        <w:t>E. 5.8.3</w:t>
      </w:r>
    </w:p>
    <w:p>
      <w:r>
        <w:t>Nach dem Gesagten sind die vorinstanzlichen Entscheidungsgrundlagen unvollständig. Der Beschwerdeführer rügt daher zu Recht, dass die Beschwerdegegner resp. die Vorinstanz die Einzelfallanalyse als zweiten Teil der Wirtschaftlichkeitsprüfung nicht vollständig umgesetzt haben. Dies verletzt Art. 56 KVG . Unbegründet ist hingegen die Auffassung des Beschwerdeführers, dass diese Einzelfallprüfung in jedem Fall mit einer Anwendung der analytischen Methode im herkömmlichen Sinn einhergehe.</w:t>
      </w:r>
    </w:p>
    <w:p>
      <w:r>
        <w:rPr>
          <w:b/>
        </w:rPr>
        <w:t>E. 6</w:t>
      </w:r>
    </w:p>
    <w:p>
      <w:r>
        <w:t>Der Beschwerdeführer verfügt über eine kantonale Bewilligung zur Führung einer Praxisapotheke (sog. Selbstdispensation). Er rügt, die Vorinstanz habe diese Besonderheit zu Unrecht als bedeutungslos angesehen.</w:t>
      </w:r>
    </w:p>
    <w:p>
      <w:r>
        <w:rPr>
          <w:b/>
        </w:rPr>
        <w:t>E. 6.1</w:t>
      </w:r>
    </w:p>
    <w:p>
      <w:r>
        <w:t>Die Kantone bestimmen, unter welchen Voraussetzungen Ärzten eine Bewilligung zur Führung einer Apotheke erteilt wird (vgl. Art. 37 Abs. 3 KVG [in der bis Ende 2021 gültigen Fassung; BBl 2018 3155] sowie Art. 4 Abs. 1 lit. k und Art. 24 Abs. 1 lit. b des Bundesgesetzes vom 15. Dezember 2000 über Arzneimittel und Medizinprodukte [HMG; SR 812.21]; Urteil 2C_53/2009 vom 23. September 2011 E. 3). Nach dem seit Anfang 2022 geltenden Art. 40 Abs. 2 KVV berücksichtigen die Kantone bei der Festlegung der BGE 150 V 129 S. 151 Voraussetzungen, unter denen Ärzte mit einer Bewilligung zur Führung einer Apotheke den zugelassenen Apothekern gleichgestellt sind, insbesondere die Zugangsmöglichkeiten der Patienten zu einer Apotheke. Während die Deutschschweizer Kantone, mit Ausnahme von Basel-Stadt und Aargau, die Selbstdispensation kennen, ist diese in der Romandie (einschliesslich der zweisprachigen Kantone Freiburg und Wallis) und im Tessin nur in Ausnahmefällen zugelassen. In Bern und Graubünden bestehen Mischsysteme. Der über eine Bewilligung zur Führung einer Praxisapotheke verfügende Beschwerdeführer praktiziert im Kanton Bern. Hier ist die ärztliche Abgabe von Medikamenten grundsätzlich auf Notfälle, Hausbesuche und die Erstversorgung beschränkt. Indessen ist die wiederholte Abgabe (Dauermedikation) durch Ärzte für Ortschaften vorgesehen, in denen die Notfallversorgung mit Arzneimitteln nicht durch mindestens zwei öffentliche Apotheken gewährleistet ist (Art. 31 Abs. 2 und Art. 32 Abs. 1 lit. a des bernischen Gesundheitsgesetzes vom 2. Dezember 1984 [BSG 811.01]).</w:t>
      </w:r>
    </w:p>
    <w:p>
      <w:r>
        <w:rPr>
          <w:b/>
        </w:rPr>
        <w:t>E. 6.2</w:t>
      </w:r>
    </w:p>
    <w:p>
      <w:r>
        <w:t>Selbstdispensierende Mediziner werden die Medikamente wohl zu einem überwiegenden Teil, soweit im eigenen Lagerbestand vorhanden, selbst abgeben. Falls dieser Umstand für die Wirtschaftlichkeitsprüfung bedeutsam ist, kann er grundsätzlich auf verschiedene Arten berücksichtigt werden.</w:t>
      </w:r>
    </w:p>
    <w:p>
      <w:r>
        <w:rPr>
          <w:b/>
        </w:rPr>
        <w:t>E. 6.2.1</w:t>
      </w:r>
    </w:p>
    <w:p>
      <w:r>
        <w:t>Im Fall des Beschwerdeführers erwog das Bundesgericht mit Urteil 9C_67/2018 vom 20. Dezember 2018 betreffend die Statistikjahre 2013 bis 2015, die ANOVA-Methode enthalte Indizes betreffend die direkten Behandlungskosten (ohne Medikamente), die Medikamentenkosten (direkte und veranlasste) sowie die totalen Kosten pro erkrankter Person (E. 10). Es gebe keinen ANOVA-Index, der die direkten Kosten einschliesslich der vom Arzt selber abgegebenen Medikamente umfasse (E. 12.2.1). Nach der Rechtsprechung zur statistischen Methode des Durchschnittskostenvergleichs (und damit auch zur ANOVA-Methode) stelle die kantonale Bewilligung zur Selbstdispensation ein Praxismerkmal dar, das bei der Bildung der Vergleichsgruppe zu berücksichtigen sei, dem also nicht erst bei der Bemessung der (allenfalls) rückzuerstattenden Vergütungen Rechnung getragen werde. Ärzte ohne Selbstdispensation gehörten nicht zur massgeblichen Vergleichsgruppe. Die Spezialität "Internist mit Bewilligung zur Führung einer Apotheke" lasse die bestehenden BGE 150 V 129 S. 152 Facharztgruppen "Allgemeine Innere Medizin" (Kanton Bern oder ganze Schweiz) nicht als genügend homogen erscheinen, da sie Internisten mit und solche ohne Privatapotheke umfassten (E. 12.2.3 mit Hinweisen). In diesem Sinn sei das kantonale Schiedsgericht bundesrechtswidrig vorgegangen. Es werde auf entsprechend angepasster Grundlage neu über die streitige Rückerstattungspflicht zu entscheiden haben. Sollte sich für die enger gefasste Facharztgruppe "Allgemeine Innere Medizin mit Bewilligung zur Führung einer Praxisapotheke" (ganze Schweiz) kein ANOVA-Index berechnen lassen oder wäre dies unverhältnismässig (was die Versicherer zumindest glaubhaft zu machen hätten), müsse ein (reiner) Durchschnittskostenvergleich durchgeführt werden, allenfalls kombiniert mit der analytischen Methode (Überprüfung einer repräsentativen Anzahl von Rechnungen in Bezug auf den diagnostischen und therapeutischen Aufwand), sofern weitere geltend gemachte Praxisbesonderheiten dazu Anlass gäben (E. 12.3).</w:t>
      </w:r>
    </w:p>
    <w:p>
      <w:r>
        <w:rPr>
          <w:b/>
        </w:rPr>
        <w:t>E. 6.2.2</w:t>
      </w:r>
    </w:p>
    <w:p>
      <w:r>
        <w:t>Nachdem das Bundesgericht im Verfahren 9C_67/2018 betreffend die Statistikjahre 2013 bis 2015 die Sache an das kantonale Schiedsgericht zurückgewiesen hatte, führte dieses Beweismassnahmen durch; die Parteien nahmen Stellung. Am 18. Juni 2020 einigten sich die Parteien auf eine Regelung betreffend die Jahre 2013 bis 2015. Das im Rückweisungsentscheid 9C_67/2018 E. 12.3 skizzierte Verfahren wurde daher nicht weiterverfolgt.</w:t>
      </w:r>
    </w:p>
    <w:p>
      <w:r>
        <w:rPr>
          <w:b/>
        </w:rPr>
        <w:t>E. 6.2.3</w:t>
      </w:r>
    </w:p>
    <w:p>
      <w:r>
        <w:t>In einem anderen Fall hielt das Bundesgericht fest, es sei nicht bekannt, ob sich "für eine wie auch immer modifizierte, d.h. enger gefasste Facharztgruppe 'Allgemeine Innere Medizin' ganze Schweiz ein ANOVA-Index berechnen" lasse (Urteil 9C_558/2018 vom 12. April 2019 E. 8.3). Aus einem Verfahren betreffend die Statistikjahre 2015 und 2016 ergibt sich, dass der im Urteil 9C_67/2018 E. 12.3 geforderte engere ANOVA-Index (Vergleichsgruppe "Ärzte Allgemeine Innere Medizin mit Bewilligung zur Führung einer Praxisapotheke") jedenfalls bis Oktober 2020 nicht vorlag; das kantonale Schiedsgericht hatte dort ausgeführt, die Klägerschaft habe sich bis anhin nicht in der Lage gesehen, eine entsprechend angepasste ANOVA-Auswertung beizubringen (Urteil 9C_721/2020 vom 19. Oktober 2021 E. 4.1).</w:t>
      </w:r>
    </w:p>
    <w:p>
      <w:r>
        <w:rPr>
          <w:b/>
        </w:rPr>
        <w:t>E. 6.3</w:t>
      </w:r>
    </w:p>
    <w:p>
      <w:r>
        <w:t>Die Vorinstanz geht davon aus, nach der (ab dem Statistikjahr 2017 anwendbaren) neuen Screening-Methode sei eine BGE 150 V 129 S. 153 Differenzierung der Vergleichsgruppen nach Ärzten mit und solchen ohne Selbstdispensation überholt. Die Frage der Medikamentenkosten und damit der Selbstdispensation sei in die neue Methode integriert worden. Diese enthalte unter anderem den Morbiditätsfaktor "Pharmazeutische Kostengruppe (PCG)" und ordne die darin erfassten - direkt abgegebenen oder veranlassten - Medikamente resp. die entsprechenden Kosten der ZSR-Nummer zu. Im Hinblick auf die Kontrolle, ob ein Arzt seinen Patienten nur effektiv indizierte, der Morbidität entsprechende Medikamente abgebe resp. verschreibe, würden alle durch den Arzt selbst oder über Apotheken abgegebenen Medikamente erfasst. Die Beschwerdegegner schliessen sich dieser Auffassung an. Der Beschwerdeführer rügt, die Vorinstanz habe diesbezügliche Auflagen im Urteil 9C_67/2018 (betreffend die Rückerstattungsjahre 2013 bis 2015) nicht beachtet, obwohl sie auch hinsichtlich des hier strittigen Jahres 2017 einschlägig seien. Ob das im Urteil 9C_67/2018 Gesagte sinngemäss auf den vorliegenden Fall zu übertragen oder ob die betreffenden Vorgaben angesichts der veränderten methodischen Grundlagen überholt sind, ist im Folgenden unter zwei Aspekten zu beurteilen: Zunächst ist die Frage überhaupt nur relevant, wenn die Selbstdispensation erhebliche Kostenunterschiede bewirkt (sogleich E. 6.4). Sofern dies zu bejahen ist, bleibt zu prüfen, ob die Erweiterung der tarifvertraglich vorgesehenen Morbiditätsfaktoren durch "Pharmazeutische Kostengruppen" (PCG) die Selbstdispensation erfasst und kostenmässig neutralisiert (E. 6.5).</w:t>
      </w:r>
    </w:p>
    <w:p>
      <w:r>
        <w:rPr>
          <w:b/>
        </w:rPr>
        <w:t>E. 6.4</w:t>
      </w:r>
    </w:p>
    <w:p>
      <w:r>
        <w:t>Die Frage, ob von einem signifikanten Kostenunterschied zwischen Arztpraxen mit und ohne Praxisapotheke auszugehen ist, stellt sich bei den Medikamentenkosten selbst und bei den mit der Medikation zusammenhängenden Behandlungskosten.</w:t>
      </w:r>
    </w:p>
    <w:p>
      <w:r>
        <w:rPr>
          <w:b/>
        </w:rPr>
        <w:t>E. 6.4.1</w:t>
      </w:r>
    </w:p>
    <w:p>
      <w:r>
        <w:t>Die Wirtschaftlichkeit ( Art. 56 und 59 KVG ) beurteilt sich nach dem Gesamtkostenindex der direkten und veranlassten Kosten ( BGE 137 V 43 E. 2.5.6; oben E. 4.1). Insoweit spielt an sich keine Rolle, ob die Arzneimittel - deren Preise behördlich administriert sind (vgl. Art. 65b ff. KVV ) - direkt durch eine praxiseigene Apotheke oder auf ärztliches Rezept durch eine externe Apotheke abgegeben werden. Die geforderte Berücksichtigung der Selbstdispensation ist hingegen dann jedenfalls relevant, wenn die beiden Formen der Medikamentenabgabe unterschiedlich kostenwirksam sein sollten. BGE 150 V 129 S. 154</w:t>
      </w:r>
    </w:p>
    <w:p>
      <w:r>
        <w:rPr>
          <w:b/>
        </w:rPr>
        <w:t>E. 6.4.2</w:t>
      </w:r>
    </w:p>
    <w:p>
      <w:r>
        <w:t>In einem früheren Entscheid nahm das Bundesgericht an, die Selbstdispensation sei kostenneutral. Es sei unerheblich, ob die in den Gesamtkosten der ärztlichen Tätigkeit enthaltenen Medikamente direkt vom Arzt oder über einen Apotheker abgegeben würden. Die Selbstdispensation könne gar kostensenkend wirken (Urteil 9C_570/2015 vom 6. Juni 2016 E. 8.1). Verhielte es sich tatsächlich so, wäre die im Urteil 9C_67/2018 formulierte Vorgabe, die Wirtschaftlichkeitsprüfung nach Art. 56 Abs. 6 und Art. 59 Abs. 1 lit. b KVG müsse dem Praxismerkmal "Bewilligung zur Führung einer Praxisapotheke" Rechnung tragen, gegenstandslos. Die Frage ist daher zu vertiefen.</w:t>
      </w:r>
    </w:p>
    <w:p>
      <w:r>
        <w:rPr>
          <w:b/>
        </w:rPr>
        <w:t>E. 6.4.3</w:t>
      </w:r>
    </w:p>
    <w:p>
      <w:r>
        <w:t>Eine gesundheitsökonomische Studie der Universität Bern aus dem Jahr 2016, in welcher der Kosteneffekt der Selbstdispensation nach der Regressionsmethode von anderen Einflussfaktoren (z.B. Zusammensetzung der Patientenschaft) getrennt wurde, zeigt anhand der Daten von 3'400 Arztpraxen in der Deutschschweiz, dass eine selbstdispensierende Arztpraxis pro Patient und Jahr bis über ein Drittel höhere Medikamentenkosten zulasten der obligatorischen Krankenpflegeversicherung verursacht als eine vergleichbare Praxis ohne Patientenapotheke. Bei Medikamentenkosten von rund 280 Franken pro Patient und Jahr betrage dieser Mehraufwand etwa 90 bis 100 Franken, also 32 bis 35 Prozent (KAISER/SCHMID, Does Physician Dispensing Increase Drug Expenditures?, Empirical Evidence from Switzerland, Health Economics 25/2016 S. 71 ff.; zusammenfassend: KAISER/SCHMID, Kostenanreize im Gesundheitswesen: Das Beispiel der Medikamentenabgabe [nachfolgend: Kostenanreize], Die Volkswirtschaft 8-9/2017 S. 66 f.). Weitere Studien kamen zu qualitativ übereinstimmenden Ergebnissen (KAISER/SCHMID, Kostenanreize, a.a.O., S. 67 mit Hinweisen). Einzig im Rahmen einer Studie fand sich kein statistisch signifikanter Einfluss der Selbstdispensation auf die Gesamtausgaben für Leistungen der obligatorischen Krankenpflegeversicherung (TROTTMANN/FRÜH/REICH/TELSER, Auswirkungen der Medikamentenabgabe durch die Ärzteschaft [Selbstdispensation] auf den Arzneimittelkonsum und die Kosten zu Lasten der OKP, Schlussbericht, Studie im Auftrag des Bundesamts für Gesundheit [BAG], 2014, S. 55 f.).</w:t>
      </w:r>
    </w:p>
    <w:p>
      <w:r>
        <w:rPr>
          <w:b/>
        </w:rPr>
        <w:t>E. 6.4.4</w:t>
      </w:r>
    </w:p>
    <w:p>
      <w:r>
        <w:t>Dass die Medikamentenkosten selbstdispensierender Arztpraxen im Vergleich zu solchen ohne diese Besonderheit in der Grössenordnung von einem Drittel höher ausfallen können, wird mit wirtschaftlichen Anreizen im Zusammenhang mit der Marge beim BGE 150 V 129 S. 155 Medikamentenverkauf erklärt. Dieser Effekt soll vor allem auf einer Mengenausweitung beruhen; hingegen scheine der durchschnittliche Preis selbstdispensierter Medikamente gar etwas tiefer als derjenige verschriebener Arzneien (KAISER/SCHMID, Kostenanreize, a.a.O., S. 67). Eine weitere Untersuchung von Forschern der Universität Bern aus dem Jahr 2017 kommt ebenfalls zum Schluss, dass selbstdispensierende Ärzte mehr (aber nicht teurere) Arzneimittel abgeben (bei Grundversorgern Mengenausweitung von 56 Prozent; BURKHARD/SCHMID/WÜTHRICH, Financial incentives and physician prescription behavior: Evidence from dispensing regulations, Health Economics 28/2019 S. 1114 ff., https://boris.unibe.ch/145820/). Bei Selbstdispensation fallen neben höheren Medikamentenkosten möglicherweise - in einem geringeren Umfang - auch höhere Behandlungskosten an, dies wohl wegen des zeitlichen Aufwands (KAISER/SCHMID, Kostenanreize, a.a.O., S. 66 f.). Denkbar ist auch, dass die Selbstdispensation durch Grundversorger zu einer höheren Anzahl Konsultationen führt (TROTTMANN/FRÜH/REICH/TELSER, a.a.O., S. 11). Es erscheint plausibel, dass die Selbstdispensation nicht nur mit höheren Medikamentenkosten, sondern darüber hinaus auch mit höheren Begleitkosten der Medikamentenabgabe verbunden sein kann. Leistungen wie die medikamentenbezogene Beratung und Aufklärung des Patienten durch den selbstdispensierenden Arzt werden unter dem Titel der Behandlung nach dem allgemeinen TARMED-Zeittarif ( Art. 43 Abs. 2 lit. a KVG ) verrechnet. Dagegen werden die pharmazeutischen Grundleistungen der Apotheken bei einem Bezug von Arzneien auf Rezept bloss pauschal entschädigt ("Leistungsorientierte Abgeltung" [LOA]; vgl. Art. 25 Abs. 2 lit. h und Art. 43 Abs. 2 lit. c KVG ; Art. 4a Abs. 1 lit. a und Abs. 2 KLV [SR 832.112.31]). Bei der Verschreibung eines Arzneimittels zuhanden einer externen Apotheke entstehen zwar etliche Aufwände, die wegen der Trennung von Behandlung und Medikation nötig werden (z.B. Kontrolle des ärztlichen Rezepts und Führung eines Patientendossiers durch den Apotheker). Diese fallen kostenmässig aber vergleichsweise wenig ins Gewicht, da sie den Apotheken nur im Umfang eines "Medikamenten-Checks" pro verordnetem Medikament resp. eines "Bezugs-Checks" pro Patient, Tag und Leistungserbringer pauschal vergütet werden.</w:t>
      </w:r>
    </w:p>
    <w:p>
      <w:r>
        <w:rPr>
          <w:b/>
        </w:rPr>
        <w:t>E. 6.4.5</w:t>
      </w:r>
    </w:p>
    <w:p>
      <w:r>
        <w:t>Zusammengefasst zeigen empirische Erhebungen an, dass bei Selbstdispensation signifikant höhere Medikamentenkosten BGE 150 V 129 S. 156 entstehen dürften. Zudem gibt es Anhaltspunkte, dass auch die Behandlungskosten etwas höher ausfallen. Unter diesen Voraussetzungen ist die Prämisse des Urteils 9C_67/2018 - die Kostenstruktur von selbstdispensierenden Internisten unterscheide sich erheblich von derjenigen entsprechender Fachärzte ohne diese Praxisbesonderheit - für die Feststellung von Verstössen gegen das Wirtschaftlichkeitsgebot nach Art. 56 Abs. 1 und Art. 59 KVG weiterhin relevant (vgl. auch GEBHARD EUGSTER, KVG: Statistische Wirtschaftlichkeitsprüfung im Wandel, Jusletter 25. Juni 2012 Rz. 79, wonach in Kantonen mit einem Mischsystem Ärzte mit resp. ohne Selbstdispensation bezüglich der direkten Kosten "grundlegend unterschiedliche Leistungsspektren" aufwiesen, weshalb notwendigerweise Vergleichsgruppen mit und ohne Selbstdispensation zu bilden seien; vgl. auch derselbe , Baustelle, a.a.O., Rz. 28).</w:t>
      </w:r>
    </w:p>
    <w:p>
      <w:r>
        <w:rPr>
          <w:b/>
        </w:rPr>
        <w:t>E. 6.5</w:t>
      </w:r>
    </w:p>
    <w:p>
      <w:r>
        <w:t>Zu prüfen bleibt, ob die Problematik der ungleich zusammengesetzten Vergleichsgruppen infolge der Weiterentwicklung der ANOVA-Methode zum Screening-Modell gegenstandslos geworden ist.</w:t>
      </w:r>
    </w:p>
    <w:p>
      <w:r>
        <w:rPr>
          <w:b/>
        </w:rPr>
        <w:t>E. 6.5.1</w:t>
      </w:r>
    </w:p>
    <w:p>
      <w:r>
        <w:t>Die Vorinstanz geht davon aus, die Abbildung der Morbidität durch pharmazeutische Kostengruppen ( Pharmaceutical Cost Groups, PCG) mache die im Urteil 9C_67/2018 getroffenen Festlegungen obsolet.</w:t>
      </w:r>
    </w:p>
    <w:p>
      <w:r>
        <w:rPr>
          <w:b/>
        </w:rPr>
        <w:t>E. 6.5.2</w:t>
      </w:r>
    </w:p>
    <w:p>
      <w:r>
        <w:t>Die tarifvertraglich definierten Morbiditätsfaktoren sollen den Einfluss einer spezifischen gesundheitlichen Charakteristik des Patientenkollektivs auf die Praxiskosten erfassen. "Morbidität" ist ein Überbegriff für die Prävalenz (bestehende Fälle) und die Inzidenz (Auftreten neuer Fälle) von Krankheiten; im vorliegenden Zusammenhang ist sie als Gradmesser der Behandlungskostenintensität pro Behandlungsfall oder Patientenkollektiv zu verstehen (EUGSTER, Baustelle, a.a.O., Rz. 19). Die Morbiditätsfaktoren haben bei der Mehrzahl der Facharztgruppen einen statistisch signifikanten Einfluss auf die Kosten (TROTTMANN UND ANDERE, Schlussbericht der Polynomics AG, a.a.O., S. 69 f.). Bei den PCG handelt es sich um einen von vier Morbiditätsfaktoren gemäss Screening-Methode (neben Alter und Geschlecht, Franchisen sowie Spital- resp. Pflegeheimaufenthalt im Vorjahr). Das Instrument wurde ursprünglich im Hinblick auf den Risikoausgleich unter den sozialen Krankenversicherern geschaffen ( Art. 16 ff. KVG ). Dort dienen die PCG als Indikatoren zur Feststellung von BGE 150 V 129 S. 157 morbiditätsbezogenen Unterschieden in den Versichertenkollektiven (TROTTMANN UND ANDERE, Schlussbericht der Polynomics AG, a.a.O., S. 41 Ziff. 6.2.4). Eine "pharmazeutische Kostengruppe" umfasst Arzneimittel mit bestimmten Wirkstoffen, die für die Behandlung eines Krankheitsbildes eingesetzt werden, das (für sich allein oder zusammen mit einer anderen Erkrankung) besonders kostenintensiv ist (vgl. Art. 4 Abs. 1 bis der Verordnung vom 19. Oktober 2016 über den Risikoausgleich in der Krankenversicherung [VORA; SR 832.112.1] ). Beispiele dafür sind Arzneimittel gegen Asthma, die chronisch obstruktive Lungenerkrankung COPD, Diabetes (Typ I und Typ II), Epilepsie, Herzerkrankungen, Krebs und Nierenerkrankungen. Anhand der Menge abgerechneter Arzneimittel mit entsprechend spezifizierten Wirkstoffen kann die Häufigkeit bestimmter chronischer, kostenintensiver Krankheiten in einem Patientenkollektiv indirekt abgebildet werden (BILL/MEYER/TELSER, Aktualisierung der PCG-Liste für den Schweizer Risikoausgleich: Studie im Auftrag des BAG, 2019, S. 5 und 8).</w:t>
      </w:r>
    </w:p>
    <w:p>
      <w:r>
        <w:rPr>
          <w:b/>
        </w:rPr>
        <w:t>E. 6.5.3</w:t>
      </w:r>
    </w:p>
    <w:p>
      <w:r>
        <w:t>Die Morbiditätsfaktoren verbinden die auffällige Kostenstruktur einer Arztpraxis mit einer allenfalls überdurchschnittlichen Anzahl von Chronischkranken im Patientenbestand. Die Zuordnung der Patienten in pharmazeutische Kostengruppen hilft bei der Beurteilung, ob die Kosten für die (eigene und/oder veranlasste) Abgabe von Medikamenten als Teil der gesamten Praxiskosten angemessen sind. Eine andere Frage ist, ob die PCG, die zur Identifizierung und Quantifizierung von Morbiditätsunterschieden bestimmt sind, den im Urteil 9C_67/2018 geforderten Vergleich ausschliesslich mit selbstdispensierenden Arztpraxen ersetzen können. Die in E. 6.4.3 zitierten Studien weisen mehrheitlich darauf hin, dass die ärztliche Medikamentenabgabe insgesamt höhere Kosten verursacht als eine ärztliche Verschreibung mit anschliessendem Bezug des Medikaments in einer externen Apotheke. Es gibt einen unabhängig von der Morbidität des Patientenkollektivs bestehenden kostenstrukturellen Unterschied zwischen Arztpraxen mit und ohne Selbstdispensation. Die Integration der pharmazeutischen Kostengruppen (und weiterer Morbiditätsfaktoren) in die statistische Prüfmethode ebnet den fraglichen Unterschied somit höchstens teilweise ein. Die PCG standardisieren die entsprechenden Mehrkosten soweit, wie sie auf eine überdurchschnittliche Morbidität des Patientenkollektivs zurückzuführen sind. Das grundsätzliche Mehr an Arzneikosten, bedingt durch die Praxisbesonderheit "Selbstdispensation" BGE 150 V 129 S. 158 als solche, gleichen sie aber nicht aus. Sie erfassen auch keine anderen Kostenunterschiede, die sich aus der Führung einer Praxisapotheke ergeben. Entgegen der Auffassung von Vorinstanz und Beschwerdegegnern begründet somit die Screening-Methode, namentlich die Aufnahme der PCG als zusätzlichen Mobiditätsfaktor, keine Veränderung gegenüber der Vorgängermethode, die die im Urteil 9C_67/2018 gemachten Überlegungen zur Definition der Vergleichsgruppe gegenstandslos machen würde.</w:t>
      </w:r>
    </w:p>
    <w:p>
      <w:r>
        <w:rPr>
          <w:b/>
        </w:rPr>
        <w:t>E. 6.6</w:t>
      </w:r>
    </w:p>
    <w:p>
      <w:r>
        <w:t>Insgesamt verletzt die Ausserachtlassung der Praxisbesonderheit "Selbstdispensation" die bundesrechtlichen Anforderungen an die Feststellung einer unwirtschaftlichen Behandlungsweise. Da die Gründe, die für die Rückweisung durch das Urteil 9C_67/2018 massgebend gewesen sind, grundsätzlich auch unter dem neuen Prüfsystem beachtlich bleiben, sind die damaligen Vorgaben den aktuellen Verhältnissen anzupassen.</w:t>
      </w:r>
    </w:p>
    <w:p>
      <w:r>
        <w:rPr>
          <w:b/>
        </w:rPr>
        <w:t>E. 6.6.1</w:t>
      </w:r>
    </w:p>
    <w:p>
      <w:r>
        <w:t>Die Wirtschaftlichkeit der Behandlungsweise im Jahr 2017 muss auf der Grundlage einer ergänzten Klage neu geprüft werden (oben E. 5.6). Dabei ist sinngemäss auf die Vorgaben im Urteil 9C_67/2018 E. 12.3 zurückzugreifen (vgl. E. 6.2.1). Bei der Selbstdispensation handelt es sich um eine Frage des Praxistyps. An sich wäre danach in erster Linie die Berechnung eines Indexes gefordert, der nur selbstdispensierende Internisten enthält (E. 5.5.2). Dem Urteil 9C_721/2020 vom 19. Oktober 2021 E. 4.1 allerdings ist zu entnehmen, dass bis dahin kein entsprechend angepasster Regressionsindex vorlag (E. 6.2.3). Wegen den kantonal unterschiedlichen Systemen der Medikamentenabgabe (E. 6.1) wäre wohl schon die Bildung einer gesamtschweizerischen Vergleichsgruppe (vgl. E. 4.4.1) schwierig. Im vorliegenden Verfahren haben die Beschwerdegegner bekräftigt, das mit der FMH vereinbarte zweistufige Regressionsmodell zur Berechnung der Indizes ermögliche keine Anpassung des Vergleichskollektivs auf Stufe Regressionsindex. Auf die Frage des vorinstanzlichen Instruktionsrichters, ob die nicht während des ganzen Statistikjahrs über eine Berufsausübungsbewilligung verfügenden Ärzte aus der Referenzgruppe entfernt werden könnten, führte die Santésuisse namens der Krankenversicherer aus, das System weise eine Interdependenz zwischen allen Facharztgruppen auf. Würden Vergleichskollektive willkürlich verändert, beeinflusste dies auch alle anderen Indizes. Entsprechend können wohl auch nicht selbstdispensierende Ärzte nicht ausgeklammert werden. Demnach BGE 150 V 129 S. 159 wäre nach dem Rückweisungsentscheid 9C_67/2018 an sich alternativ auf einen (reinen) Durchschnittskostenvergleich auszuweichen. Ein solcher berücksichtigt indessen weder die im Screening-Modell vorgesehenen standardisierenden Faktoren noch das im Bereich der Einzelfallanalyse u.a. beachtliche Praxismerkmal "Selbstdispensation". Nachdem die Morbidität nicht standardisiert worden ist, dürfte sich ein "(reiner) Durchschnittskostenvergleich" ebenfalls nur auf nicht selbstdispensierende Praxen beziehen. Ansonsten könnte er vor allem durch den Umstand verfälscht werden, dass das bernische Gesundheitsgesetz die dauerhafte Selbstdispensation nur für Ortschaften vorsieht, in denen die Notfallversorgung mit Arzneimitteln nicht durch mindestens zwei öffentliche Apotheken gewährleistet ist (oben E. 6.1). Die über eigene Patientenapotheken verfügenden Praxen befinden sich mithin vorwiegend im ländlichen Raum. Das typische Patientenkollektiv einer Praxis auf dem Land ist seiner Morbidität nach erfahrungsgemäss anders zusammengesetzt als dasjenige einer städtischen Praxis.</w:t>
      </w:r>
    </w:p>
    <w:p>
      <w:r>
        <w:rPr>
          <w:b/>
        </w:rPr>
        <w:t>E. 6.6.2</w:t>
      </w:r>
    </w:p>
    <w:p>
      <w:r>
        <w:t>Im Rahmen der Screening-Methode könnte dem Merkmal der Selbstdispensation beispielsweise Rechnung getragen werden, indem der Referenzindex "Gesamtkosten", der u.a. einen Teilindex "direkte und veranlasste Medikamentenkosten" enthält, anhand empirischer Erkenntnisse soweit erhöht wird, wie wenn Letzterer ausschliesslich auf den von selbstdispensierenden Ärzten generierten Medikamentenkosten beruhen würde. Die Anpassung des Referenzindexes könnte datenbasiert erfolgen, etwa auf der Grundlage eines Vergleichs der Kostenstruktur von Praxen mit und ohne Selbstdispensation im Kanton Bern, oder, falls dies mit unverhältnismässigem Aufwand verbunden sein sollte, anhand von Studien, wonach bei Selbstdispensation Mehrkosten von rund einem Drittel anfallen (E. 6.4.3). Bei der Umlegung der gesamtschweizerischen Daten auf den Standortkanton des Beschwerdeführers (zweite Stufe der Regressionsanalyse) wird das im Kanton Bern bestehende gemischte System der Medikamentenabgabe (E. 6.1) wohl nicht berücksichtigt. Die Mehrkosten wären diesfalls soweit zu veranschlagen, wie es dem gesamtschweizerischen Anteil selbstdispensierender Praxen entspricht. Beträgt dieser Anteil beispielsweise 50 Prozent, so wäre der komplementäre Teil-Referenzindex "direkte und veranlasste Medikamentenkosten" um die Hälfte der Mehrkosten zu erhöhen, also um 15 Prozent, sofern auf die erwähnten Studien abgestellt wird. Da BGE 150 V 129 S. 160 allerdings kein Index der direkten Behandlungs- und übrigen Kosten ( exklusive Medikamente) existiert, wäre zur Ermittlung des dem Durchschnittskostenwert des Beschwerdeführers gegenüberzustellenden Gesamt-Referenzwerts der Anteil eigener Medikamentenabgabe zu schätzen und abzuziehen.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